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Montresta</w:t>
      </w:r>
    </w:p>
    <w:p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Oristano</w:t>
      </w:r>
    </w:p>
    <w:p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0A6F46" w:rsidP="00CC7C01">
      <w:pPr>
        <w:shd w:val="clear" w:color="auto" w:fill="FFFFFF"/>
        <w:ind w:left="567" w:right="567"/>
        <w:jc w:val="both"/>
        <w:rPr>
          <w:sz w:val="16"/>
          <w:szCs w:val="16"/>
        </w:rPr>
      </w:pPr>
      <w:r w:rsidRPr="000A6F46">
        <w:rPr>
          <w:i/>
          <w:iCs/>
          <w:color w:val="000000"/>
          <w:sz w:val="16"/>
          <w:szCs w:val="16"/>
        </w:rPr>
        <w:t>«</w:t>
      </w:r>
      <w:r w:rsidR="00B90AA7" w:rsidRPr="00522C87">
        <w:rPr>
          <w:b/>
          <w:i/>
          <w:iCs/>
          <w:color w:val="000000"/>
          <w:sz w:val="16"/>
          <w:szCs w:val="16"/>
        </w:rPr>
        <w:t>Art. 76 - Norme penali.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CC7C01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CC7C01" w:rsidRDefault="00B90AA7" w:rsidP="00CC7C01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4"/>
          <w:sz w:val="16"/>
          <w:szCs w:val="16"/>
        </w:rPr>
      </w:pPr>
      <w:r w:rsidRPr="00CC7C01">
        <w:rPr>
          <w:i/>
          <w:iCs/>
          <w:color w:val="000000"/>
          <w:spacing w:val="-4"/>
          <w:sz w:val="16"/>
          <w:szCs w:val="16"/>
        </w:rPr>
        <w:t>3. Le dichiarazioni sostitutive rese ai sensi degli articoli 46 (certificazione) e 47 (notorietà) e le dichiarazioni rese per conto delle persone indicate nell'articolo 4, comma 2, (impedimento temporaneo) sono considerate come fatte a pubblico ufficiale.</w:t>
      </w:r>
    </w:p>
    <w:p w:rsidR="00B90AA7" w:rsidRPr="00522C87" w:rsidRDefault="00B90AA7" w:rsidP="00CC7C01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0A6F46">
        <w:rPr>
          <w:i/>
          <w:iCs/>
          <w:color w:val="000000"/>
          <w:sz w:val="16"/>
          <w:szCs w:val="16"/>
        </w:rPr>
        <w:t>»</w:t>
      </w:r>
    </w:p>
    <w:p w:rsidR="00910552" w:rsidRPr="00DA3681" w:rsidRDefault="00910552" w:rsidP="00204FA3">
      <w:pPr>
        <w:shd w:val="clear" w:color="auto" w:fill="FFFFFF"/>
        <w:spacing w:before="60" w:after="60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>gli atti emessi in violazione di tale divieto sono nulli a tutti gli effetti di legge</w:t>
      </w:r>
      <w:r w:rsidR="002A3417" w:rsidRPr="00C2405F">
        <w:rPr>
          <w:i/>
          <w:sz w:val="18"/>
          <w:szCs w:val="18"/>
        </w:rPr>
        <w:t>.[…]</w:t>
      </w:r>
      <w:r w:rsidRPr="00C2405F">
        <w:rPr>
          <w:i/>
          <w:sz w:val="18"/>
          <w:szCs w:val="18"/>
        </w:rPr>
        <w:t>»</w:t>
      </w:r>
    </w:p>
    <w:p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……………………………………………..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4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5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6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7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8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9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1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2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3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A3417" w:rsidRPr="00F92CD5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826" w:type="dxa"/>
            <w:vAlign w:val="center"/>
          </w:tcPr>
          <w:p w:rsidR="002A3417" w:rsidRPr="00F92CD5" w:rsidRDefault="002A3417" w:rsidP="00571116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6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</w:t>
      </w:r>
      <w:bookmarkStart w:id="17" w:name="_GoBack"/>
      <w:bookmarkEnd w:id="17"/>
      <w:r w:rsidRPr="00C2405F">
        <w:rPr>
          <w:rFonts w:ascii="Helvetica" w:hAnsi="Helvetica"/>
          <w:color w:val="000000"/>
          <w:spacing w:val="2"/>
          <w:sz w:val="16"/>
          <w:szCs w:val="16"/>
        </w:rPr>
        <w:t>menti informatici, esclusivamente nell’ambito del procedimento per il quale la presente istanza/dichiarazione viene resa.</w:t>
      </w:r>
    </w:p>
    <w:p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0A6F46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204FA3">
        <w:trPr>
          <w:trHeight w:val="132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8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8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9" w:name="Testo5"/>
          <w:p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9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1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2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17709">
              <w:rPr>
                <w:rFonts w:cs="Times New Roman"/>
              </w:rPr>
            </w:r>
            <w:r w:rsidR="0011770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3"/>
            <w:r w:rsidRPr="00DA3681">
              <w:rPr>
                <w:rFonts w:cs="Times New Roman"/>
              </w:rPr>
              <w:t xml:space="preserve"> </w:t>
            </w:r>
            <w:bookmarkStart w:id="24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4"/>
          </w:p>
        </w:tc>
      </w:tr>
    </w:tbl>
    <w:p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204FA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09" w:rsidRDefault="00117709">
      <w:r>
        <w:separator/>
      </w:r>
    </w:p>
  </w:endnote>
  <w:endnote w:type="continuationSeparator" w:id="0">
    <w:p w:rsidR="00117709" w:rsidRDefault="001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237CFB">
      <w:trPr>
        <w:trHeight w:val="142"/>
      </w:trPr>
      <w:tc>
        <w:tcPr>
          <w:tcW w:w="726" w:type="dxa"/>
          <w:vMerge w:val="restart"/>
          <w:vAlign w:val="center"/>
        </w:tcPr>
        <w:p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237CFB">
      <w:trPr>
        <w:trHeight w:val="142"/>
      </w:trPr>
      <w:tc>
        <w:tcPr>
          <w:tcW w:w="726" w:type="dxa"/>
          <w:vMerge/>
          <w:vAlign w:val="center"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:rsidTr="00571116">
      <w:trPr>
        <w:trHeight w:val="142"/>
      </w:trPr>
      <w:tc>
        <w:tcPr>
          <w:tcW w:w="726" w:type="dxa"/>
          <w:vMerge/>
          <w:vAlign w:val="center"/>
          <w:hideMark/>
        </w:tcPr>
        <w:p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Grafiche E. </w:t>
          </w:r>
          <w:proofErr w:type="spellStart"/>
          <w:r>
            <w:rPr>
              <w:rFonts w:eastAsia="Times"/>
              <w:sz w:val="10"/>
              <w:szCs w:val="10"/>
            </w:rPr>
            <w:t>Gaspari</w:t>
          </w:r>
          <w:proofErr w:type="spellEnd"/>
        </w:p>
      </w:tc>
      <w:tc>
        <w:tcPr>
          <w:tcW w:w="7575" w:type="dxa"/>
          <w:vAlign w:val="center"/>
          <w:hideMark/>
        </w:tcPr>
        <w:p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09" w:rsidRDefault="00117709">
      <w:r>
        <w:separator/>
      </w:r>
    </w:p>
  </w:footnote>
  <w:footnote w:type="continuationSeparator" w:id="0">
    <w:p w:rsidR="00117709" w:rsidRDefault="0011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567A5F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Paolo Russomanno</cp:lastModifiedBy>
  <cp:revision>3</cp:revision>
  <dcterms:created xsi:type="dcterms:W3CDTF">2017-06-26T13:42:00Z</dcterms:created>
  <dcterms:modified xsi:type="dcterms:W3CDTF">2018-09-25T18:59:00Z</dcterms:modified>
</cp:coreProperties>
</file>